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553" w:rsidRDefault="00B63553" w:rsidP="00212150">
      <w:pPr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ЗАКЛЮЧЕНИЕ</w:t>
      </w:r>
    </w:p>
    <w:p w:rsidR="008C13CD" w:rsidRDefault="008C13CD" w:rsidP="0021215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аналитического </w:t>
      </w:r>
      <w:r w:rsidR="00281737">
        <w:rPr>
          <w:sz w:val="28"/>
          <w:szCs w:val="28"/>
        </w:rPr>
        <w:t>отдела</w:t>
      </w:r>
    </w:p>
    <w:p w:rsidR="006A02C4" w:rsidRPr="003A0B23" w:rsidRDefault="008C13CD" w:rsidP="0021215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аппарата </w:t>
      </w:r>
      <w:r w:rsidR="007E03F8" w:rsidRPr="003A0B23">
        <w:rPr>
          <w:sz w:val="28"/>
          <w:szCs w:val="28"/>
        </w:rPr>
        <w:t>Думы городского округа Тольятти</w:t>
      </w:r>
    </w:p>
    <w:p w:rsidR="00480A2E" w:rsidRDefault="00480A2E" w:rsidP="006A02C4">
      <w:pPr>
        <w:jc w:val="center"/>
        <w:rPr>
          <w:sz w:val="28"/>
          <w:szCs w:val="28"/>
        </w:rPr>
      </w:pPr>
    </w:p>
    <w:p w:rsidR="005C3382" w:rsidRPr="005C3382" w:rsidRDefault="005C3382" w:rsidP="005C3382">
      <w:pPr>
        <w:jc w:val="center"/>
        <w:rPr>
          <w:sz w:val="28"/>
          <w:szCs w:val="28"/>
        </w:rPr>
      </w:pPr>
      <w:r w:rsidRPr="005358CC">
        <w:rPr>
          <w:sz w:val="28"/>
          <w:szCs w:val="28"/>
        </w:rPr>
        <w:t xml:space="preserve">на протест </w:t>
      </w:r>
      <w:r w:rsidRPr="005C3382">
        <w:rPr>
          <w:sz w:val="28"/>
          <w:szCs w:val="28"/>
        </w:rPr>
        <w:t xml:space="preserve">прокурора </w:t>
      </w:r>
      <w:proofErr w:type="spellStart"/>
      <w:r w:rsidRPr="005C3382">
        <w:rPr>
          <w:sz w:val="28"/>
          <w:szCs w:val="28"/>
        </w:rPr>
        <w:t>г</w:t>
      </w:r>
      <w:proofErr w:type="gramStart"/>
      <w:r w:rsidRPr="005C3382">
        <w:rPr>
          <w:sz w:val="28"/>
          <w:szCs w:val="28"/>
        </w:rPr>
        <w:t>.Т</w:t>
      </w:r>
      <w:proofErr w:type="gramEnd"/>
      <w:r w:rsidRPr="005C3382">
        <w:rPr>
          <w:sz w:val="28"/>
          <w:szCs w:val="28"/>
        </w:rPr>
        <w:t>ольятти</w:t>
      </w:r>
      <w:proofErr w:type="spellEnd"/>
      <w:r w:rsidRPr="005C3382">
        <w:rPr>
          <w:sz w:val="28"/>
          <w:szCs w:val="28"/>
        </w:rPr>
        <w:t xml:space="preserve"> на решение Думы</w:t>
      </w:r>
      <w:r>
        <w:rPr>
          <w:sz w:val="28"/>
          <w:szCs w:val="28"/>
        </w:rPr>
        <w:t xml:space="preserve"> </w:t>
      </w:r>
      <w:r w:rsidRPr="005C3382">
        <w:rPr>
          <w:sz w:val="28"/>
          <w:szCs w:val="28"/>
        </w:rPr>
        <w:t>городского округа Тольятти от 24.12.2008 № 1059 «О Правилах землепользования и застройки городского округа Тольятти»</w:t>
      </w:r>
    </w:p>
    <w:p w:rsidR="005C3382" w:rsidRDefault="005C3382" w:rsidP="005C3382">
      <w:pPr>
        <w:spacing w:before="240" w:after="240"/>
        <w:jc w:val="center"/>
        <w:rPr>
          <w:sz w:val="28"/>
          <w:szCs w:val="28"/>
        </w:rPr>
      </w:pPr>
      <w:r w:rsidRPr="005C3382">
        <w:rPr>
          <w:sz w:val="28"/>
          <w:szCs w:val="28"/>
        </w:rPr>
        <w:t>(Д-248 от 31.10.2024)</w:t>
      </w:r>
    </w:p>
    <w:p w:rsidR="00C91E10" w:rsidRPr="00B63553" w:rsidRDefault="00C91E10" w:rsidP="00BD06B2">
      <w:pPr>
        <w:spacing w:after="80" w:line="288" w:lineRule="auto"/>
        <w:ind w:firstLine="709"/>
        <w:jc w:val="both"/>
        <w:rPr>
          <w:rFonts w:eastAsia="Calibri"/>
          <w:sz w:val="28"/>
          <w:szCs w:val="28"/>
        </w:rPr>
      </w:pPr>
      <w:r w:rsidRPr="003A0B23">
        <w:rPr>
          <w:sz w:val="28"/>
          <w:szCs w:val="28"/>
        </w:rPr>
        <w:t>Рассмотрев</w:t>
      </w:r>
      <w:r w:rsidR="005358CC">
        <w:rPr>
          <w:sz w:val="28"/>
          <w:szCs w:val="28"/>
        </w:rPr>
        <w:t xml:space="preserve"> </w:t>
      </w:r>
      <w:r w:rsidR="005358CC" w:rsidRPr="005358CC">
        <w:rPr>
          <w:sz w:val="28"/>
          <w:szCs w:val="28"/>
        </w:rPr>
        <w:t xml:space="preserve">протест </w:t>
      </w:r>
      <w:r w:rsidR="005C3382" w:rsidRPr="005C3382">
        <w:rPr>
          <w:sz w:val="28"/>
          <w:szCs w:val="28"/>
        </w:rPr>
        <w:t xml:space="preserve">прокурора </w:t>
      </w:r>
      <w:proofErr w:type="spellStart"/>
      <w:r w:rsidR="005C3382" w:rsidRPr="005C3382">
        <w:rPr>
          <w:sz w:val="28"/>
          <w:szCs w:val="28"/>
        </w:rPr>
        <w:t>г</w:t>
      </w:r>
      <w:proofErr w:type="gramStart"/>
      <w:r w:rsidR="005C3382" w:rsidRPr="005C3382">
        <w:rPr>
          <w:sz w:val="28"/>
          <w:szCs w:val="28"/>
        </w:rPr>
        <w:t>.Т</w:t>
      </w:r>
      <w:proofErr w:type="gramEnd"/>
      <w:r w:rsidR="005C3382" w:rsidRPr="005C3382">
        <w:rPr>
          <w:sz w:val="28"/>
          <w:szCs w:val="28"/>
        </w:rPr>
        <w:t>ольятти</w:t>
      </w:r>
      <w:proofErr w:type="spellEnd"/>
      <w:r w:rsidR="005C3382" w:rsidRPr="005C3382">
        <w:rPr>
          <w:sz w:val="28"/>
          <w:szCs w:val="28"/>
        </w:rPr>
        <w:t xml:space="preserve"> (далее - протест) на решение Думы городского округа Тольятти от 24.12.2008 № 1059 «О Правилах землепользования и застройки городского округа Тольятти» (в редакции от 10.10.2024) (далее - Правила)</w:t>
      </w:r>
      <w:r w:rsidR="004D2BC6">
        <w:rPr>
          <w:sz w:val="28"/>
          <w:szCs w:val="28"/>
        </w:rPr>
        <w:t xml:space="preserve">, </w:t>
      </w:r>
      <w:r w:rsidR="00AB3937">
        <w:rPr>
          <w:sz w:val="28"/>
          <w:szCs w:val="28"/>
        </w:rPr>
        <w:t>аналитический</w:t>
      </w:r>
      <w:r w:rsidR="004F3D70">
        <w:rPr>
          <w:sz w:val="28"/>
          <w:szCs w:val="28"/>
        </w:rPr>
        <w:t xml:space="preserve"> </w:t>
      </w:r>
      <w:r w:rsidR="00AB3937">
        <w:rPr>
          <w:sz w:val="28"/>
          <w:szCs w:val="28"/>
        </w:rPr>
        <w:t>отдел</w:t>
      </w:r>
      <w:r w:rsidR="00B90029">
        <w:rPr>
          <w:sz w:val="28"/>
          <w:szCs w:val="28"/>
        </w:rPr>
        <w:t xml:space="preserve"> </w:t>
      </w:r>
      <w:r w:rsidRPr="003A0B23">
        <w:rPr>
          <w:sz w:val="28"/>
          <w:szCs w:val="28"/>
        </w:rPr>
        <w:t>отмечает следующее.</w:t>
      </w:r>
    </w:p>
    <w:p w:rsidR="005C3382" w:rsidRDefault="005C3382" w:rsidP="005C3382">
      <w:pPr>
        <w:spacing w:after="80"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</w:t>
      </w:r>
      <w:r w:rsidRPr="005C3382">
        <w:rPr>
          <w:sz w:val="28"/>
          <w:szCs w:val="28"/>
        </w:rPr>
        <w:t>протест</w:t>
      </w:r>
      <w:r>
        <w:rPr>
          <w:sz w:val="28"/>
          <w:szCs w:val="28"/>
        </w:rPr>
        <w:t>у</w:t>
      </w:r>
      <w:r w:rsidRPr="005C3382">
        <w:rPr>
          <w:sz w:val="28"/>
          <w:szCs w:val="28"/>
        </w:rPr>
        <w:t xml:space="preserve"> прокурор</w:t>
      </w:r>
      <w:r>
        <w:rPr>
          <w:sz w:val="28"/>
          <w:szCs w:val="28"/>
        </w:rPr>
        <w:t>а</w:t>
      </w:r>
      <w:r w:rsidRPr="005C3382">
        <w:rPr>
          <w:sz w:val="28"/>
          <w:szCs w:val="28"/>
        </w:rPr>
        <w:t xml:space="preserve"> города Правила землепользования и застройки городского округа Тольятти в части зонирования территории по границам смежных земельных участков с кадастровыми номерами 63:09:0304060:1217 и 63:09:0304060:546 не соответствуют Генеральному плану городского округа Тольятти, утвержденному решением Думы </w:t>
      </w:r>
      <w:r>
        <w:rPr>
          <w:sz w:val="28"/>
          <w:szCs w:val="28"/>
        </w:rPr>
        <w:t>от 25.05.2018 № 1756.</w:t>
      </w:r>
    </w:p>
    <w:p w:rsidR="005C3382" w:rsidRDefault="00100289" w:rsidP="005C3382">
      <w:pPr>
        <w:pStyle w:val="ab"/>
        <w:tabs>
          <w:tab w:val="left" w:pos="1843"/>
        </w:tabs>
        <w:spacing w:after="80" w:line="276" w:lineRule="auto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E0525F" wp14:editId="4DC4D64F">
                <wp:simplePos x="0" y="0"/>
                <wp:positionH relativeFrom="column">
                  <wp:posOffset>5068661</wp:posOffset>
                </wp:positionH>
                <wp:positionV relativeFrom="paragraph">
                  <wp:posOffset>786039</wp:posOffset>
                </wp:positionV>
                <wp:extent cx="631371" cy="631371"/>
                <wp:effectExtent l="0" t="0" r="16510" b="1651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371" cy="63137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" o:spid="_x0000_s1026" style="position:absolute;margin-left:399.1pt;margin-top:61.9pt;width:49.7pt;height:49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m6BngIAAIYFAAAOAAAAZHJzL2Uyb0RvYy54bWysVM1u2zAMvg/YOwi6r07Sn2xGnSJokWFA&#10;0RZLh54VWYoFyKImKXGyh9kzDLvuJfJIo+SfBmuxwzAfZFIkP/6I5OXVrtZkK5xXYAo6PhlRIgyH&#10;Upl1Qb88Lt69p8QHZkqmwYiC7oWnV7O3by4bm4sJVKBL4QiCGJ83tqBVCDbPMs8rUTN/AlYYFEpw&#10;NQvIunVWOtYgeq2zyWh0kTXgSuuAC+/x9qYV0lnCl1LwcC+lF4HogmJsIZ0unat4ZrNLlq8ds5Xi&#10;XRjsH6KomTLodIC6YYGRjVMvoGrFHXiQ4YRDnYGUiouUA2YzHv2RzbJiVqRcsDjeDmXy/w+W320f&#10;HFFlQaeUGFbjEx2+H34efhx+kWmsTmN9jkpL++A6ziMZU91JV8c/JkF2qaL7oaJiFwjHy4vT8el0&#10;TAlHUUcjSvZsbJ0PHwXUJBIFFVor62POLGfbWx9a7V4rXhtYKK3xnuXaxNODVmW8S4xbr661I1uG&#10;D75YjPCLWaDHIzXkomkWc2uzSVTYa9HCfhYSa4LxT1IkqRvFAMs4FyaMW1HFStF6Oz92Fvs3WiTX&#10;2iBgRJYY5YDdAfSaLUiP3cbc6UdTkZp5MB79LbDWeLBInsGEwbhWBtxrABqz6jy3+n2R2tLEKq2g&#10;3GPHOGhHyVu+UPh0t8yHB+ZwdnDKcB+Eezykhqag0FGUVOC+vXYf9bGlUUpJg7NYUP91w5ygRH8y&#10;2OwfxmdncXgTc3Y+nSDjjiWrY4nZ1NeAr49th9ElMuoH3ZPSQf2Ea2MevaKIGY6+C8qD65nr0O4I&#10;XDxczOdJDQfWsnBrlpZH8FjV2JePuyfmbNe/ARv/Dvq5fdHDrW60NDDfBJAqNfhzXbt647CnxukW&#10;U9wmx3zSel6fs98AAAD//wMAUEsDBBQABgAIAAAAIQBxg3O23wAAAAsBAAAPAAAAZHJzL2Rvd25y&#10;ZXYueG1sTI/BTsMwEETvSPyDtUjcqINL2zTEqWglDtATBXHexm4S1V5HsdsGvp7lBMfRjGbelKvR&#10;O3G2Q+wCabifZCAs1cF01Gj4eH++y0HEhGTQBbIavmyEVXV9VWJhwoXe7HmXGsElFAvU0KbUF1LG&#10;urUe4yT0ltg7hMFjYjk00gx44XLvpMqyufTYES+02NtNa+vj7uR5d7t+UOpTrWdH9715xcOsN+FF&#10;69ub8ekRRLJj+gvDLz6jQ8VM+3AiE4XTsFjmiqNsqCl/4ES+XMxB7DUoNVUgq1L+/1D9AAAA//8D&#10;AFBLAQItABQABgAIAAAAIQC2gziS/gAAAOEBAAATAAAAAAAAAAAAAAAAAAAAAABbQ29udGVudF9U&#10;eXBlc10ueG1sUEsBAi0AFAAGAAgAAAAhADj9If/WAAAAlAEAAAsAAAAAAAAAAAAAAAAALwEAAF9y&#10;ZWxzLy5yZWxzUEsBAi0AFAAGAAgAAAAhABeeboGeAgAAhgUAAA4AAAAAAAAAAAAAAAAALgIAAGRy&#10;cy9lMm9Eb2MueG1sUEsBAi0AFAAGAAgAAAAhAHGDc7bfAAAACwEAAA8AAAAAAAAAAAAAAAAA+AQA&#10;AGRycy9kb3ducmV2LnhtbFBLBQYAAAAABAAEAPMAAAAEBgAAAAA=&#10;" filled="f" strokecolor="red" strokeweight="2pt"/>
            </w:pict>
          </mc:Fallback>
        </mc:AlternateContent>
      </w:r>
      <w:r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1438275</wp:posOffset>
                </wp:positionH>
                <wp:positionV relativeFrom="paragraph">
                  <wp:posOffset>1254488</wp:posOffset>
                </wp:positionV>
                <wp:extent cx="631371" cy="631371"/>
                <wp:effectExtent l="0" t="0" r="16510" b="16510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371" cy="63137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6" o:spid="_x0000_s1026" style="position:absolute;margin-left:113.25pt;margin-top:98.8pt;width:49.7pt;height:49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8DxngIAAIYFAAAOAAAAZHJzL2Uyb0RvYy54bWysVM1u2zAMvg/YOwi6r07SNt2MOkXQIsOA&#10;oi2WDj0rshQLkEVNUuJkD7NnGHbdS+SRRsk/DdZih2E+yKRIfvwRycurXa3JVjivwBR0fDKiRBgO&#10;pTLrgn55XLx7T4kPzJRMgxEF3QtPr2Zv31w2NhcTqECXwhEEMT5vbEGrEGyeZZ5Xomb+BKwwKJTg&#10;ahaQdeusdKxB9Fpnk9FomjXgSuuAC+/x9qYV0lnCl1LwcC+lF4HogmJsIZ0unat4ZrNLlq8ds5Xi&#10;XRjsH6KomTLodIC6YYGRjVMvoGrFHXiQ4YRDnYGUiouUA2YzHv2RzbJiVqRcsDjeDmXy/w+W320f&#10;HFFlQaeUGFbjEx2+H34efhx+kWmsTmN9jkpL++A6ziMZU91JV8c/JkF2qaL7oaJiFwjHy+np+PRi&#10;TAlHUUcjSvZsbJ0PHwXUJBIFFVor62POLGfbWx9a7V4rXhtYKK3xnuXaxNODVmW8S4xbr661I1uG&#10;D75YjPCLWaDHIzXkomkWc2uzSVTYa9HCfhYSa4LxT1IkqRvFAMs4FyaMW1HFStF6Oz92Fvs3WiTX&#10;2iBgRJYY5YDdAfSaLUiP3cbc6UdTkZp5MB79LbDWeLBInsGEwbhWBtxrABqz6jy3+n2R2tLEKq2g&#10;3GPHOGhHyVu+UPh0t8yHB+ZwdnDKcB+Eezykhqag0FGUVOC+vXYf9bGlUUpJg7NYUP91w5ygRH8y&#10;2OwfxmdncXgTc3Z+MUHGHUtWxxKzqa8BXx/bDqNLZNQPuielg/oJ18Y8ekURMxx9F5QH1zPXod0R&#10;uHi4mM+TGg6sZeHWLC2P4LGqsS8fd0/M2a5/Azb+HfRz+6KHW91oaWC+CSBVavDnunb1xmFPjdMt&#10;prhNjvmk9bw+Z78BAAD//wMAUEsDBBQABgAIAAAAIQCMD/ym3wAAAAsBAAAPAAAAZHJzL2Rvd25y&#10;ZXYueG1sTI/BTsMwEETvSPyDtUjcqIMhaRPiVLQSB+iJgnrexm4SNV5HsdsGvp7lBMfVG828LZeT&#10;68XZjqHzpOF+loCwVHvTUaPh8+PlbgEiRCSDvSer4csGWFbXVyUWxl/o3Z63sRFcQqFADW2MQyFl&#10;qFvrMMz8YInZwY8OI59jI82IFy53vVRJkkmHHfFCi4Ndt7Y+bk+OdzerR6V2apUe++/1Gx7SwfhX&#10;rW9vpucnENFO8S8Mv/qsDhU77f2JTBC9BqWylKMM8nkGghMPKs1B7Bnl8wRkVcr/P1Q/AAAA//8D&#10;AFBLAQItABQABgAIAAAAIQC2gziS/gAAAOEBAAATAAAAAAAAAAAAAAAAAAAAAABbQ29udGVudF9U&#10;eXBlc10ueG1sUEsBAi0AFAAGAAgAAAAhADj9If/WAAAAlAEAAAsAAAAAAAAAAAAAAAAALwEAAF9y&#10;ZWxzLy5yZWxzUEsBAi0AFAAGAAgAAAAhABfDwPGeAgAAhgUAAA4AAAAAAAAAAAAAAAAALgIAAGRy&#10;cy9lMm9Eb2MueG1sUEsBAi0AFAAGAAgAAAAhAIwP/KbfAAAACwEAAA8AAAAAAAAAAAAAAAAA+AQA&#10;AGRycy9kb3ducmV2LnhtbFBLBQYAAAAABAAEAPMAAAAEBgAAAAA=&#10;" filled="f" strokecolor="red" strokeweight="2pt"/>
            </w:pict>
          </mc:Fallback>
        </mc:AlternateContent>
      </w:r>
      <w:r w:rsidR="005C3382">
        <w:rPr>
          <w:rFonts w:ascii="Times New Roman" w:hAnsi="Times New Roman"/>
          <w:b/>
          <w:noProof/>
          <w:sz w:val="26"/>
          <w:szCs w:val="26"/>
          <w:lang w:eastAsia="ru-RU"/>
        </w:rPr>
        <w:drawing>
          <wp:inline distT="0" distB="0" distL="0" distR="0" wp14:anchorId="2893A99C" wp14:editId="43DE86B6">
            <wp:extent cx="2988129" cy="1883912"/>
            <wp:effectExtent l="19050" t="19050" r="22225" b="215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ГП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873" cy="1902034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5C3382" w:rsidRPr="00C50C37">
        <w:rPr>
          <w:rFonts w:ascii="Times New Roman" w:hAnsi="Times New Roman"/>
          <w:sz w:val="16"/>
          <w:szCs w:val="16"/>
        </w:rPr>
        <w:t xml:space="preserve"> </w:t>
      </w:r>
      <w:r w:rsidR="005C3382">
        <w:rPr>
          <w:rFonts w:ascii="Times New Roman" w:hAnsi="Times New Roman"/>
          <w:b/>
          <w:noProof/>
          <w:sz w:val="26"/>
          <w:szCs w:val="26"/>
          <w:lang w:eastAsia="ru-RU"/>
        </w:rPr>
        <w:drawing>
          <wp:inline distT="0" distB="0" distL="0" distR="0" wp14:anchorId="4AE2C111" wp14:editId="781597EB">
            <wp:extent cx="2846615" cy="2194436"/>
            <wp:effectExtent l="19050" t="19050" r="11430" b="158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ПЗЗ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723" cy="2197603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5C3382" w:rsidRPr="0053375D" w:rsidRDefault="005C3382" w:rsidP="005C3382">
      <w:pPr>
        <w:pStyle w:val="ab"/>
        <w:tabs>
          <w:tab w:val="left" w:pos="1843"/>
        </w:tabs>
        <w:spacing w:after="80" w:line="276" w:lineRule="auto"/>
        <w:jc w:val="center"/>
        <w:rPr>
          <w:rFonts w:ascii="Times New Roman" w:hAnsi="Times New Roman"/>
          <w:sz w:val="25"/>
          <w:szCs w:val="25"/>
        </w:rPr>
      </w:pPr>
      <w:r w:rsidRPr="0053375D">
        <w:rPr>
          <w:rFonts w:ascii="Times New Roman" w:hAnsi="Times New Roman"/>
          <w:sz w:val="25"/>
          <w:szCs w:val="25"/>
        </w:rPr>
        <w:t>Рисунок 1. Фрагменты Генерального плана и Правил</w:t>
      </w:r>
      <w:r w:rsidR="0053375D" w:rsidRPr="0053375D">
        <w:rPr>
          <w:rFonts w:ascii="Times New Roman" w:hAnsi="Times New Roman"/>
          <w:sz w:val="25"/>
          <w:szCs w:val="25"/>
        </w:rPr>
        <w:t xml:space="preserve"> землепользования и застройки</w:t>
      </w:r>
    </w:p>
    <w:p w:rsidR="005C3382" w:rsidRPr="005C3382" w:rsidRDefault="005C3382" w:rsidP="005C3382">
      <w:pPr>
        <w:spacing w:after="80" w:line="288" w:lineRule="auto"/>
        <w:ind w:firstLine="709"/>
        <w:jc w:val="both"/>
        <w:rPr>
          <w:sz w:val="28"/>
          <w:szCs w:val="28"/>
        </w:rPr>
      </w:pPr>
      <w:r w:rsidRPr="005C3382">
        <w:rPr>
          <w:sz w:val="28"/>
          <w:szCs w:val="28"/>
        </w:rPr>
        <w:t>В соответствии с Генеральным планом рассматриваемый земельный участок расположен в функциональной зоне – зона производственного использования.</w:t>
      </w:r>
    </w:p>
    <w:p w:rsidR="005C3382" w:rsidRPr="005C3382" w:rsidRDefault="005C3382" w:rsidP="005C3382">
      <w:pPr>
        <w:spacing w:after="80" w:line="288" w:lineRule="auto"/>
        <w:ind w:firstLine="709"/>
        <w:jc w:val="both"/>
        <w:rPr>
          <w:sz w:val="28"/>
          <w:szCs w:val="28"/>
        </w:rPr>
      </w:pPr>
      <w:r w:rsidRPr="005C3382">
        <w:rPr>
          <w:sz w:val="28"/>
          <w:szCs w:val="28"/>
        </w:rPr>
        <w:t>В действующей редакции Правил установлена территориальная зона Ж-2 (Зона малоэтажной жилой застройки), не соответствующая Генеральному плану.</w:t>
      </w:r>
    </w:p>
    <w:p w:rsidR="005C3382" w:rsidRDefault="00100289" w:rsidP="005C3382">
      <w:pPr>
        <w:pStyle w:val="ab"/>
        <w:tabs>
          <w:tab w:val="left" w:pos="1843"/>
        </w:tabs>
        <w:spacing w:after="80" w:line="276" w:lineRule="auto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4358D4" wp14:editId="29B3B79A">
                <wp:simplePos x="0" y="0"/>
                <wp:positionH relativeFrom="column">
                  <wp:posOffset>3544479</wp:posOffset>
                </wp:positionH>
                <wp:positionV relativeFrom="paragraph">
                  <wp:posOffset>982345</wp:posOffset>
                </wp:positionV>
                <wp:extent cx="1524000" cy="1524000"/>
                <wp:effectExtent l="0" t="0" r="19050" b="1905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1524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" o:spid="_x0000_s1026" style="position:absolute;margin-left:279.1pt;margin-top:77.35pt;width:120pt;height:12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2rAngIAAIgFAAAOAAAAZHJzL2Uyb0RvYy54bWysVMFu2zAMvQ/YPwi6r3aCdFuNOkXQIsOA&#10;oi3WDj0rshQbkEVNUuJkH7NvGHbtT+STRkm2G6zFDsMukiiSj+ITyfOLXavIVljXgC7p5CSnRGgO&#10;VaPXJf36sHz3kRLnma6YAi1KuheOXszfvjnvTCGmUIOqhCUIol3RmZLW3psiyxyvRcvcCRihUSnB&#10;tsyjaNdZZVmH6K3Kpnn+PuvAVsYCF87h7VVS0nnEl1JwfyulE56okuLbfFxtXFdhzebnrFhbZuqG&#10;989g//CKljUag45QV8wzsrHNC6i24RYcSH/Coc1AyoaLmANmM8n/yOa+ZkbEXJAcZ0aa3P+D5Tfb&#10;O0uaqqRnlGjW4hcdfhx+HX4enshZYKczrkCje3Nne8nhMaS6k7YNOyZBdpHR/cio2HnC8XJyOp3l&#10;ORLPUTcIiJM9uxvr/CcBLQmHkgqlGuNC1qxg22vnk/VgFa41LBul8J4VSofVgWqqcBcFu15dKku2&#10;DL98ucTo8Zcx4pEZSsE1C9mlfOLJ75VIsF+ERFYwg2l8SaxHMcIyzoX2k6SqWSVStNPjYKGCg0dM&#10;VmkEDMgSXzli9wCDZQIZsFPevX1wFbGcR+f8bw9LzqNHjAzaj85to8G+BqAwqz5ysh9IStQEllZQ&#10;7bFmLKRmcoYvG/y6a+b8HbPYPfjdOBH8LS5SQVdS6E+U1GC/v3Yf7LGoUUtJh91YUvdtw6ygRH3W&#10;WO5nk9kstG8UZqcfpijYY83qWKM37SXg709w9hgej8Heq+EoLbSPODgWISqqmOYYu6Tc20G49GlK&#10;4OjhYrGIZtiyhvlrfW94AA+shrp82D0ya/r69Vj6NzB07osaTrbBU8Ni40E2scCfee35xnaPhdOP&#10;pjBPjuVo9TxA578BAAD//wMAUEsDBBQABgAIAAAAIQD8JWbs3gAAAAsBAAAPAAAAZHJzL2Rvd25y&#10;ZXYueG1sTI/BTsMwEETvSPyDtUjcqINpaBviVLQSB+iJgjhvYzeJaq+j2G0DX8/2BMedGc28LZej&#10;d+Jkh9gF0nA/yUBYqoPpqNHw+fFyNwcRE5JBF8hq+LYRltX1VYmFCWd6t6dtagSXUCxQQ5tSX0gZ&#10;69Z6jJPQW2JvHwaPic+hkWbAM5d7J1WWPUqPHfFCi71dt7Y+bI+edzerqVJfapUf3M/6Dfd5b8Kr&#10;1rc34/MTiGTH9BeGCz6jQ8VMu3AkE4XTkOdzxVE28ukMBCdmi4uy0/CwYEVWpfz/Q/ULAAD//wMA&#10;UEsBAi0AFAAGAAgAAAAhALaDOJL+AAAA4QEAABMAAAAAAAAAAAAAAAAAAAAAAFtDb250ZW50X1R5&#10;cGVzXS54bWxQSwECLQAUAAYACAAAACEAOP0h/9YAAACUAQAACwAAAAAAAAAAAAAAAAAvAQAAX3Jl&#10;bHMvLnJlbHNQSwECLQAUAAYACAAAACEA2f9qwJ4CAACIBQAADgAAAAAAAAAAAAAAAAAuAgAAZHJz&#10;L2Uyb0RvYy54bWxQSwECLQAUAAYACAAAACEA/CVm7N4AAAALAQAADwAAAAAAAAAAAAAAAAD4BAAA&#10;ZHJzL2Rvd25yZXYueG1sUEsFBgAAAAAEAAQA8wAAAAMGAAAAAA==&#10;" filled="f" strokecolor="red" strokeweight="2pt"/>
            </w:pict>
          </mc:Fallback>
        </mc:AlternateContent>
      </w:r>
      <w:r w:rsidR="005C3382">
        <w:rPr>
          <w:rFonts w:ascii="Times New Roman" w:hAnsi="Times New Roman"/>
          <w:b/>
          <w:noProof/>
          <w:sz w:val="26"/>
          <w:szCs w:val="26"/>
          <w:lang w:eastAsia="ru-RU"/>
        </w:rPr>
        <w:drawing>
          <wp:inline distT="0" distB="0" distL="0" distR="0" wp14:anchorId="20462E1B" wp14:editId="3F63743C">
            <wp:extent cx="5940425" cy="3130550"/>
            <wp:effectExtent l="19050" t="19050" r="22225" b="127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ПКК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055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5C3382" w:rsidRDefault="005C3382" w:rsidP="005C3382">
      <w:pPr>
        <w:pStyle w:val="ab"/>
        <w:tabs>
          <w:tab w:val="left" w:pos="1843"/>
        </w:tabs>
        <w:spacing w:after="80" w:line="276" w:lineRule="auto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Рисунок 2. Фрагмент публичной кадастровой карты</w:t>
      </w:r>
    </w:p>
    <w:p w:rsidR="005C3382" w:rsidRDefault="00100289" w:rsidP="005C3382">
      <w:pPr>
        <w:pStyle w:val="ab"/>
        <w:tabs>
          <w:tab w:val="left" w:pos="1843"/>
        </w:tabs>
        <w:spacing w:after="80" w:line="276" w:lineRule="auto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06BADC" wp14:editId="143B7C57">
                <wp:simplePos x="0" y="0"/>
                <wp:positionH relativeFrom="column">
                  <wp:posOffset>3327128</wp:posOffset>
                </wp:positionH>
                <wp:positionV relativeFrom="paragraph">
                  <wp:posOffset>748030</wp:posOffset>
                </wp:positionV>
                <wp:extent cx="1524000" cy="1524000"/>
                <wp:effectExtent l="0" t="0" r="19050" b="1905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1524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262pt;margin-top:58.9pt;width:120pt;height:12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rDVnQIAAIgFAAAOAAAAZHJzL2Uyb0RvYy54bWysVEtu2zAQ3RfoHQjuG8mG06ZC5MBI4KJA&#10;kARNiqxpirQEUByWpC27h+kZim5zCR+pQ1JSjCboouhG4nBm3vDN7/xi1yqyFdY1oEs6OckpEZpD&#10;1eh1Sb8+LN+dUeI80xVToEVJ98LRi/nbN+edKcQUalCVsARBtCs6U9Lae1NkmeO1aJk7ASM0KiXY&#10;lnkU7TqrLOsQvVXZNM/fZx3Yyljgwjm8vUpKOo/4Ugrub6V0whNVUnybj18bv6vwzebnrFhbZuqG&#10;989g//CKljUag45QV8wzsrHNC6i24RYcSH/Coc1AyoaLyAHZTPI/2NzXzIjIBZPjzJgm9/9g+c32&#10;zpKmKikWSrMWS3T4cfh1+Hl4ImchO51xBRrdmzvbSw6PgepO2jb8kQTZxYzux4yKnSccLyen01me&#10;Y+I56gYBcbJnd2Od/ySgJeFQUqFUY1xgzQq2vXY+WQ9W4VrDslEK71mhdPg6UE0V7qJg16tLZcmW&#10;YcmXS4weq4wRj8xQCq5ZYJf4xJPfK5FgvwiJWUEG0/iS2I9ihGWcC+0nSVWzSqRop8fBQgcHj0hW&#10;aQQMyBJfOWL3AINlAhmwE+/ePriK2M6jc/63hyXn0SNGBu1H57bRYF8DUMiqj5zshySl1IQsraDa&#10;Y89YSMPkDF82WLpr5vwdszg9WG7cCP4WP1JBV1LoT5TUYL+/dh/ssalRS0mH01hS923DrKBEfdbY&#10;7h8ns1kY3yjMTj9MUbDHmtWxRm/aS8DqT3D3GB6Pwd6r4SgttI+4OBYhKqqY5hi7pNzbQbj0aUvg&#10;6uFisYhmOLKG+Wt9b3gAD1kNffmwe2TW9P3rsfVvYJjcFz2cbIOnhsXGg2xigz/ntc83jntsnH41&#10;hX1yLEer5wU6/w0AAP//AwBQSwMEFAAGAAgAAAAhACs4xsjcAAAACwEAAA8AAABkcnMvZG93bnJl&#10;di54bWxMT01PwjAYvpv4H5rXxJt0VAZmriNC4kE8icbzy1q2hfbtshaY/npeTnp8PvJ8lMvRO3Gy&#10;Q+wCaZhOMhCW6mA6ajR8fb4+PIGICcmgC2Q1/NgIy+r2psTChDN92NM2NYJDKBaooU2pL6SMdWs9&#10;xknoLbG2D4PHxHBopBnwzOHeSZVlc+mxI25osbfr1taH7dFz7/tqptS3WuUH97ve4D7vTXjT+v5u&#10;fHkGkeyY/sxwnc/ToeJNu3AkE4XTkKsZf0ksTBf8gR2L+ZXZaXjMmZFVKf9/qC4AAAD//wMAUEsB&#10;Ai0AFAAGAAgAAAAhALaDOJL+AAAA4QEAABMAAAAAAAAAAAAAAAAAAAAAAFtDb250ZW50X1R5cGVz&#10;XS54bWxQSwECLQAUAAYACAAAACEAOP0h/9YAAACUAQAACwAAAAAAAAAAAAAAAAAvAQAAX3JlbHMv&#10;LnJlbHNQSwECLQAUAAYACAAAACEAPqKw1Z0CAACIBQAADgAAAAAAAAAAAAAAAAAuAgAAZHJzL2Uy&#10;b0RvYy54bWxQSwECLQAUAAYACAAAACEAKzjGyNwAAAALAQAADwAAAAAAAAAAAAAAAAD3BAAAZHJz&#10;L2Rvd25yZXYueG1sUEsFBgAAAAAEAAQA8wAAAAAGAAAAAA==&#10;" filled="f" strokecolor="red" strokeweight="2pt"/>
            </w:pict>
          </mc:Fallback>
        </mc:AlternateContent>
      </w:r>
      <w:r w:rsidR="005C3382">
        <w:rPr>
          <w:rFonts w:ascii="Times New Roman" w:hAnsi="Times New Roman"/>
          <w:b/>
          <w:noProof/>
          <w:sz w:val="26"/>
          <w:szCs w:val="26"/>
          <w:lang w:eastAsia="ru-RU"/>
        </w:rPr>
        <w:drawing>
          <wp:inline distT="0" distB="0" distL="0" distR="0" wp14:anchorId="300E22AA" wp14:editId="2954B29E">
            <wp:extent cx="5940425" cy="3141980"/>
            <wp:effectExtent l="19050" t="19050" r="22225" b="203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ПКК_СЗЗ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198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5C3382" w:rsidRDefault="005C3382" w:rsidP="005C3382">
      <w:pPr>
        <w:pStyle w:val="ab"/>
        <w:tabs>
          <w:tab w:val="left" w:pos="1843"/>
        </w:tabs>
        <w:spacing w:after="80" w:line="276" w:lineRule="auto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Рисунок 3. Фрагмент публичной кадастровой карты с обозначением</w:t>
      </w:r>
      <w:r>
        <w:rPr>
          <w:rFonts w:ascii="Times New Roman" w:hAnsi="Times New Roman"/>
          <w:sz w:val="26"/>
          <w:szCs w:val="26"/>
        </w:rPr>
        <w:br/>
        <w:t>санитарно-защитной зоны</w:t>
      </w:r>
    </w:p>
    <w:p w:rsidR="005C3382" w:rsidRPr="00100289" w:rsidRDefault="005C3382" w:rsidP="00100289">
      <w:pPr>
        <w:spacing w:after="80" w:line="288" w:lineRule="auto"/>
        <w:ind w:firstLine="709"/>
        <w:jc w:val="both"/>
        <w:rPr>
          <w:sz w:val="28"/>
          <w:szCs w:val="28"/>
        </w:rPr>
      </w:pPr>
      <w:r w:rsidRPr="00100289">
        <w:rPr>
          <w:sz w:val="28"/>
          <w:szCs w:val="28"/>
        </w:rPr>
        <w:t xml:space="preserve">Согласно статье 33 Градостроительного кодекса Российской Федерации (далее – </w:t>
      </w:r>
      <w:proofErr w:type="spellStart"/>
      <w:r w:rsidRPr="00100289">
        <w:rPr>
          <w:sz w:val="28"/>
          <w:szCs w:val="28"/>
        </w:rPr>
        <w:t>ГрК</w:t>
      </w:r>
      <w:proofErr w:type="spellEnd"/>
      <w:r w:rsidRPr="00100289">
        <w:rPr>
          <w:sz w:val="28"/>
          <w:szCs w:val="28"/>
        </w:rPr>
        <w:t xml:space="preserve"> РФ) внесение изменений в правила землепользования и застройки осуществляется в порядке, предусмотренном </w:t>
      </w:r>
      <w:r w:rsidRPr="005C3382">
        <w:rPr>
          <w:sz w:val="28"/>
          <w:szCs w:val="28"/>
        </w:rPr>
        <w:t>статьями 31</w:t>
      </w:r>
      <w:r w:rsidRPr="00100289">
        <w:rPr>
          <w:sz w:val="28"/>
          <w:szCs w:val="28"/>
        </w:rPr>
        <w:t xml:space="preserve"> и </w:t>
      </w:r>
      <w:r w:rsidRPr="005C3382">
        <w:rPr>
          <w:sz w:val="28"/>
          <w:szCs w:val="28"/>
        </w:rPr>
        <w:t>32</w:t>
      </w:r>
      <w:r w:rsidRPr="00100289">
        <w:rPr>
          <w:sz w:val="28"/>
          <w:szCs w:val="28"/>
        </w:rPr>
        <w:t xml:space="preserve"> </w:t>
      </w:r>
      <w:proofErr w:type="spellStart"/>
      <w:r w:rsidRPr="00100289">
        <w:rPr>
          <w:sz w:val="28"/>
          <w:szCs w:val="28"/>
        </w:rPr>
        <w:t>ГрК</w:t>
      </w:r>
      <w:proofErr w:type="spellEnd"/>
      <w:r w:rsidRPr="00100289">
        <w:rPr>
          <w:sz w:val="28"/>
          <w:szCs w:val="28"/>
        </w:rPr>
        <w:t xml:space="preserve"> РФ, с учетом особенностей, установленных данной статьей.</w:t>
      </w:r>
    </w:p>
    <w:p w:rsidR="00100289" w:rsidRPr="00100289" w:rsidRDefault="00100289" w:rsidP="00100289">
      <w:pPr>
        <w:spacing w:after="80" w:line="288" w:lineRule="auto"/>
        <w:ind w:firstLine="709"/>
        <w:jc w:val="both"/>
        <w:rPr>
          <w:sz w:val="28"/>
          <w:szCs w:val="28"/>
        </w:rPr>
      </w:pPr>
      <w:proofErr w:type="gramStart"/>
      <w:r w:rsidRPr="00100289">
        <w:rPr>
          <w:sz w:val="28"/>
          <w:szCs w:val="28"/>
        </w:rPr>
        <w:t>25.10.2024 на заседании комиссии по подготовке проекта Правил землепользования и застройки городского округа Толь</w:t>
      </w:r>
      <w:r w:rsidR="00D55D52">
        <w:rPr>
          <w:sz w:val="28"/>
          <w:szCs w:val="28"/>
        </w:rPr>
        <w:t>я</w:t>
      </w:r>
      <w:r w:rsidRPr="00100289">
        <w:rPr>
          <w:sz w:val="28"/>
          <w:szCs w:val="28"/>
        </w:rPr>
        <w:t xml:space="preserve">тти было рассмотрено </w:t>
      </w:r>
      <w:r w:rsidRPr="00100289">
        <w:rPr>
          <w:sz w:val="28"/>
          <w:szCs w:val="28"/>
        </w:rPr>
        <w:lastRenderedPageBreak/>
        <w:t xml:space="preserve">обращение ЗАО «Тольяттинский завод </w:t>
      </w:r>
      <w:proofErr w:type="spellStart"/>
      <w:r w:rsidRPr="00100289">
        <w:rPr>
          <w:sz w:val="28"/>
          <w:szCs w:val="28"/>
        </w:rPr>
        <w:t>автоагрегатов</w:t>
      </w:r>
      <w:proofErr w:type="spellEnd"/>
      <w:r w:rsidRPr="00100289">
        <w:rPr>
          <w:sz w:val="28"/>
          <w:szCs w:val="28"/>
        </w:rPr>
        <w:t>» (№ 4162-вх/5.1 от 26.09.2024) о внесении изменений в Правила в части установления по границам смежных земельных участков с кадастровыми номерами 63:09:0304060:1217 и 63:09:0304060:546 территориальной зоны ПК-3 (Зона промышленных объектов IV - V классов опасности</w:t>
      </w:r>
      <w:proofErr w:type="gramEnd"/>
      <w:r w:rsidRPr="00100289">
        <w:rPr>
          <w:sz w:val="28"/>
          <w:szCs w:val="28"/>
        </w:rPr>
        <w:t>), взамен установленной на настоящий момент территориальной зоны Ж-2 (Зона малоэтажной жилой застройки). Комиссия приняла единогласно решение рекомендовать Главе городского округа Тольятти внести соответствующие изменения в Правила землепользования и застройки.</w:t>
      </w:r>
    </w:p>
    <w:p w:rsidR="005C3382" w:rsidRDefault="00100289" w:rsidP="005C3382">
      <w:pPr>
        <w:pStyle w:val="ab"/>
        <w:tabs>
          <w:tab w:val="left" w:pos="1843"/>
        </w:tabs>
        <w:spacing w:after="80" w:line="276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508E71" wp14:editId="7B753EF8">
                <wp:simplePos x="0" y="0"/>
                <wp:positionH relativeFrom="column">
                  <wp:posOffset>1922780</wp:posOffset>
                </wp:positionH>
                <wp:positionV relativeFrom="paragraph">
                  <wp:posOffset>666387</wp:posOffset>
                </wp:positionV>
                <wp:extent cx="2149928" cy="2149928"/>
                <wp:effectExtent l="0" t="0" r="22225" b="2222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9928" cy="214992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151.4pt;margin-top:52.45pt;width:169.3pt;height:169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NElnQIAAIoFAAAOAAAAZHJzL2Uyb0RvYy54bWysVEtu2zAQ3RfoHQjuG9mG0zZC5MBI4KJA&#10;kARNiqxpirQIUByWpH89TM9QdJtL+EgdkpJiNEEXRbWgOL83H87M+cWu1WQjnFdgKjo+GVEiDIda&#10;mVVFvz4s3n2kxAdmaqbBiIruhacXs7dvzre2FBNoQNfCEQQxvtzaijYh2LIoPG9Ey/wJWGFQKMG1&#10;LCDpVkXt2BbRW11MRqP3xRZcbR1w4T1yr7KQzhK+lIKHWym9CERXFGML6XTpXMazmJ2zcuWYbRTv&#10;wmD/EEXLlEGnA9QVC4ysnXoB1SruwIMMJxzaAqRUXKQcMJvx6I9s7htmRcoFi+PtUCb//2D5zebO&#10;EVXj22F5DGvxjQ4/Dr8OPw9PBFlYn631Jard2zvXUR6vMdmddG38Yxpkl2q6H2oqdoFwZE7G07Oz&#10;CXYBR1lPIE7xbG6dD58EtCReKiq0VtbHvFnJNtc+ZO1eK7INLJTWyGelNvH0oFUdeYlwq+WldmTD&#10;8NEXixF+MQ/0eKSGVDQtYnY5n3QLey0y7BchsS4xgxRJ6kgxwDLOhQnjLGpYLbK302NnsYejRXKt&#10;DQJGZIlRDtgdQK+ZQXrsHHOnH01FaujBePS3wLLxYJE8gwmDcasMuNcANGbVec76fZFyaWKVllDv&#10;sWsc5HHyli8UPt018+GOOZwfbCXcCeEWD6lhW1HobpQ04L6/xo/62NYopWSL81hR/23NnKBEfzbY&#10;8Gfj6TQOcCKmpx8mSLhjyfJYYtbtJeDrj3H7WJ6uUT/o/iodtI+4OubRK4qY4ei7ojy4nrgMeU/g&#10;8uFiPk9qOLSWhWtzb3kEj1WNffmwe2TOdv0bsPVvoJ/dFz2cdaOlgfk6gFSpwZ/r2tUbBz41Trec&#10;4kY5ppPW8wqd/QYAAP//AwBQSwMEFAAGAAgAAAAhAFdZkobfAAAACwEAAA8AAABkcnMvZG93bnJl&#10;di54bWxMjzFPwzAUhHck/oP1kNioXdepIMSpaCUGYKIgZjd2k6j2cxS7beDX85joeLrT3XfVagqe&#10;ndyY+oga5jMBzGETbY+ths+P57t7YCkbtMZHdBq+XYJVfX1VmdLGM7670za3jEowlUZDl/NQcp6a&#10;zgWTZnFwSN4+jsFkkmPL7WjOVB48l0IseTA90kJnBrfpXHPYHgPtvq2VlF9yXRz8z+bV7IvBxhet&#10;b2+mp0dg2U35Pwx/+IQONTHt4hFtYl7DQkhCz2QI9QCMEks1V8B2GpRaFMDril9+qH8BAAD//wMA&#10;UEsBAi0AFAAGAAgAAAAhALaDOJL+AAAA4QEAABMAAAAAAAAAAAAAAAAAAAAAAFtDb250ZW50X1R5&#10;cGVzXS54bWxQSwECLQAUAAYACAAAACEAOP0h/9YAAACUAQAACwAAAAAAAAAAAAAAAAAvAQAAX3Jl&#10;bHMvLnJlbHNQSwECLQAUAAYACAAAACEAeUDRJZ0CAACKBQAADgAAAAAAAAAAAAAAAAAuAgAAZHJz&#10;L2Uyb0RvYy54bWxQSwECLQAUAAYACAAAACEAV1mSht8AAAALAQAADwAAAAAAAAAAAAAAAAD3BAAA&#10;ZHJzL2Rvd25yZXYueG1sUEsFBgAAAAAEAAQA8wAAAAMGAAAAAA==&#10;" filled="f" strokecolor="red" strokeweight="2pt"/>
            </w:pict>
          </mc:Fallback>
        </mc:AlternateContent>
      </w:r>
      <w:r w:rsidR="005C3382">
        <w:rPr>
          <w:rFonts w:ascii="Times New Roman" w:hAnsi="Times New Roman"/>
          <w:b/>
          <w:noProof/>
          <w:sz w:val="26"/>
          <w:szCs w:val="26"/>
          <w:lang w:eastAsia="ru-RU"/>
        </w:rPr>
        <w:drawing>
          <wp:inline distT="0" distB="0" distL="0" distR="0" wp14:anchorId="6A65A95E" wp14:editId="591F7176">
            <wp:extent cx="4754880" cy="3599688"/>
            <wp:effectExtent l="19050" t="19050" r="26670" b="203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ППТ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3599688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5C3382" w:rsidRDefault="005C3382" w:rsidP="005C3382">
      <w:pPr>
        <w:pStyle w:val="ab"/>
        <w:tabs>
          <w:tab w:val="left" w:pos="1843"/>
        </w:tabs>
        <w:spacing w:after="80" w:line="276" w:lineRule="auto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Рисунок 4. Фрагмент Проекта планировки территории</w:t>
      </w:r>
    </w:p>
    <w:p w:rsidR="00BD06B2" w:rsidRDefault="00BD06B2" w:rsidP="00BD06B2">
      <w:pPr>
        <w:spacing w:after="80" w:line="288" w:lineRule="auto"/>
        <w:ind w:firstLine="709"/>
        <w:jc w:val="both"/>
        <w:rPr>
          <w:sz w:val="28"/>
          <w:szCs w:val="28"/>
        </w:rPr>
      </w:pPr>
    </w:p>
    <w:p w:rsidR="00557957" w:rsidRDefault="008867A6" w:rsidP="004D2BC6">
      <w:pPr>
        <w:spacing w:after="80" w:line="276" w:lineRule="auto"/>
        <w:ind w:firstLine="708"/>
        <w:jc w:val="both"/>
        <w:rPr>
          <w:b/>
          <w:sz w:val="28"/>
          <w:szCs w:val="28"/>
        </w:rPr>
      </w:pPr>
      <w:r w:rsidRPr="00AA6BA0">
        <w:rPr>
          <w:b/>
          <w:sz w:val="28"/>
          <w:szCs w:val="28"/>
        </w:rPr>
        <w:t xml:space="preserve">Вывод: </w:t>
      </w:r>
      <w:r w:rsidR="00D93D23" w:rsidRPr="00D93D23">
        <w:rPr>
          <w:b/>
          <w:sz w:val="28"/>
          <w:szCs w:val="28"/>
        </w:rPr>
        <w:t xml:space="preserve">протест </w:t>
      </w:r>
      <w:r w:rsidR="00100289" w:rsidRPr="00100289">
        <w:rPr>
          <w:b/>
          <w:sz w:val="28"/>
          <w:szCs w:val="28"/>
        </w:rPr>
        <w:t xml:space="preserve">прокурора </w:t>
      </w:r>
      <w:proofErr w:type="spellStart"/>
      <w:r w:rsidR="00100289" w:rsidRPr="00100289">
        <w:rPr>
          <w:b/>
          <w:sz w:val="28"/>
          <w:szCs w:val="28"/>
        </w:rPr>
        <w:t>г</w:t>
      </w:r>
      <w:proofErr w:type="gramStart"/>
      <w:r w:rsidR="00100289" w:rsidRPr="00100289">
        <w:rPr>
          <w:b/>
          <w:sz w:val="28"/>
          <w:szCs w:val="28"/>
        </w:rPr>
        <w:t>.Т</w:t>
      </w:r>
      <w:proofErr w:type="gramEnd"/>
      <w:r w:rsidR="00100289" w:rsidRPr="00100289">
        <w:rPr>
          <w:b/>
          <w:sz w:val="28"/>
          <w:szCs w:val="28"/>
        </w:rPr>
        <w:t>ольятти</w:t>
      </w:r>
      <w:proofErr w:type="spellEnd"/>
      <w:r w:rsidR="00100289" w:rsidRPr="00100289">
        <w:rPr>
          <w:b/>
          <w:sz w:val="28"/>
          <w:szCs w:val="28"/>
        </w:rPr>
        <w:t xml:space="preserve"> на решение Думы городского округа Тольятти от 24.12.2008 № 1059 «О Правилах землепользования и застройки городского округа Тольятти»</w:t>
      </w:r>
      <w:r w:rsidR="00100289">
        <w:rPr>
          <w:b/>
          <w:sz w:val="28"/>
          <w:szCs w:val="28"/>
        </w:rPr>
        <w:t xml:space="preserve"> </w:t>
      </w:r>
      <w:r w:rsidR="00557957" w:rsidRPr="00AA6BA0">
        <w:rPr>
          <w:b/>
          <w:sz w:val="28"/>
          <w:szCs w:val="28"/>
        </w:rPr>
        <w:t>может быть рассмотрен на заседании Думы.</w:t>
      </w:r>
    </w:p>
    <w:p w:rsidR="006800C8" w:rsidRDefault="006800C8" w:rsidP="006800C8">
      <w:pPr>
        <w:ind w:firstLine="709"/>
        <w:jc w:val="both"/>
        <w:rPr>
          <w:b/>
          <w:sz w:val="28"/>
          <w:szCs w:val="28"/>
        </w:rPr>
      </w:pPr>
    </w:p>
    <w:p w:rsidR="00BD06B2" w:rsidRPr="00AA6BA0" w:rsidRDefault="00BD06B2" w:rsidP="006800C8">
      <w:pPr>
        <w:ind w:firstLine="709"/>
        <w:jc w:val="both"/>
        <w:rPr>
          <w:b/>
          <w:sz w:val="28"/>
          <w:szCs w:val="28"/>
        </w:rPr>
      </w:pPr>
    </w:p>
    <w:p w:rsidR="00CE10F1" w:rsidRDefault="00CE10F1" w:rsidP="00985665">
      <w:pPr>
        <w:tabs>
          <w:tab w:val="left" w:pos="2100"/>
        </w:tabs>
        <w:spacing w:before="2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Начальник </w:t>
      </w:r>
    </w:p>
    <w:p w:rsidR="00480A2E" w:rsidRPr="003A0B23" w:rsidRDefault="00CE10F1" w:rsidP="00131AF8">
      <w:pPr>
        <w:tabs>
          <w:tab w:val="left" w:pos="2100"/>
          <w:tab w:val="right" w:pos="9354"/>
        </w:tabs>
        <w:jc w:val="both"/>
        <w:rPr>
          <w:sz w:val="28"/>
          <w:szCs w:val="28"/>
        </w:rPr>
      </w:pPr>
      <w:r>
        <w:rPr>
          <w:sz w:val="28"/>
          <w:szCs w:val="28"/>
        </w:rPr>
        <w:t>аналитического отдела</w:t>
      </w:r>
      <w:r w:rsidR="00AE7D74" w:rsidRPr="003A0B23">
        <w:rPr>
          <w:sz w:val="28"/>
          <w:szCs w:val="28"/>
        </w:rPr>
        <w:tab/>
      </w:r>
      <w:r>
        <w:rPr>
          <w:sz w:val="28"/>
          <w:szCs w:val="28"/>
        </w:rPr>
        <w:t xml:space="preserve">Д.В. </w:t>
      </w:r>
      <w:proofErr w:type="spellStart"/>
      <w:r>
        <w:rPr>
          <w:sz w:val="28"/>
          <w:szCs w:val="28"/>
        </w:rPr>
        <w:t>Замчевский</w:t>
      </w:r>
      <w:proofErr w:type="spellEnd"/>
    </w:p>
    <w:p w:rsidR="002B1D10" w:rsidRDefault="002B1D10" w:rsidP="002B1D10"/>
    <w:p w:rsidR="00100289" w:rsidRDefault="00100289" w:rsidP="002B1D10"/>
    <w:p w:rsidR="0095637D" w:rsidRPr="00985665" w:rsidRDefault="00131AF8" w:rsidP="002B1D10">
      <w:r w:rsidRPr="00985665">
        <w:t>Попов</w:t>
      </w:r>
      <w:r w:rsidR="00573B7B" w:rsidRPr="00985665">
        <w:t xml:space="preserve"> 12-11</w:t>
      </w:r>
    </w:p>
    <w:sectPr w:rsidR="0095637D" w:rsidRPr="00985665" w:rsidSect="00EE229B">
      <w:footerReference w:type="default" r:id="rId14"/>
      <w:pgSz w:w="11906" w:h="16838"/>
      <w:pgMar w:top="1135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24BA" w:rsidRDefault="003F24BA" w:rsidP="00EE229B">
      <w:r>
        <w:separator/>
      </w:r>
    </w:p>
  </w:endnote>
  <w:endnote w:type="continuationSeparator" w:id="0">
    <w:p w:rsidR="003F24BA" w:rsidRDefault="003F24BA" w:rsidP="00EE22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657260"/>
      <w:docPartObj>
        <w:docPartGallery w:val="Page Numbers (Bottom of Page)"/>
        <w:docPartUnique/>
      </w:docPartObj>
    </w:sdtPr>
    <w:sdtEndPr/>
    <w:sdtContent>
      <w:p w:rsidR="00700AD9" w:rsidRDefault="00700AD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F74F2">
          <w:rPr>
            <w:noProof/>
          </w:rPr>
          <w:t>3</w:t>
        </w:r>
        <w:r>
          <w:fldChar w:fldCharType="end"/>
        </w:r>
      </w:p>
    </w:sdtContent>
  </w:sdt>
  <w:p w:rsidR="00700AD9" w:rsidRDefault="00700AD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24BA" w:rsidRDefault="003F24BA" w:rsidP="00EE229B">
      <w:r>
        <w:separator/>
      </w:r>
    </w:p>
  </w:footnote>
  <w:footnote w:type="continuationSeparator" w:id="0">
    <w:p w:rsidR="003F24BA" w:rsidRDefault="003F24BA" w:rsidP="00EE22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E49FD"/>
    <w:multiLevelType w:val="hybridMultilevel"/>
    <w:tmpl w:val="09705ECE"/>
    <w:lvl w:ilvl="0" w:tplc="1B469EF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846655B"/>
    <w:multiLevelType w:val="hybridMultilevel"/>
    <w:tmpl w:val="0FBA8DA0"/>
    <w:lvl w:ilvl="0" w:tplc="954883BA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345441F8"/>
    <w:multiLevelType w:val="hybridMultilevel"/>
    <w:tmpl w:val="8D9622A2"/>
    <w:lvl w:ilvl="0" w:tplc="160648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410D593E"/>
    <w:multiLevelType w:val="hybridMultilevel"/>
    <w:tmpl w:val="62E09FAE"/>
    <w:lvl w:ilvl="0" w:tplc="C59A2F8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3B54967"/>
    <w:multiLevelType w:val="hybridMultilevel"/>
    <w:tmpl w:val="53B825BE"/>
    <w:lvl w:ilvl="0" w:tplc="6E82FF7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4B3032D2"/>
    <w:multiLevelType w:val="hybridMultilevel"/>
    <w:tmpl w:val="04C6996C"/>
    <w:lvl w:ilvl="0" w:tplc="B4DA8C1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5D427F2C"/>
    <w:multiLevelType w:val="hybridMultilevel"/>
    <w:tmpl w:val="0044B2D4"/>
    <w:lvl w:ilvl="0" w:tplc="ED22D48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5E8E254C"/>
    <w:multiLevelType w:val="hybridMultilevel"/>
    <w:tmpl w:val="466ACE5C"/>
    <w:lvl w:ilvl="0" w:tplc="7B5A985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61F83CBD"/>
    <w:multiLevelType w:val="hybridMultilevel"/>
    <w:tmpl w:val="D3C0EDBA"/>
    <w:lvl w:ilvl="0" w:tplc="148801C2">
      <w:start w:val="1"/>
      <w:numFmt w:val="decimal"/>
      <w:lvlText w:val="%1)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39F1B32"/>
    <w:multiLevelType w:val="hybridMultilevel"/>
    <w:tmpl w:val="A99C69AA"/>
    <w:lvl w:ilvl="0" w:tplc="6E542AA6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6A9E0E86"/>
    <w:multiLevelType w:val="hybridMultilevel"/>
    <w:tmpl w:val="3F669392"/>
    <w:lvl w:ilvl="0" w:tplc="954CF7F6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3"/>
  </w:num>
  <w:num w:numId="5">
    <w:abstractNumId w:val="4"/>
  </w:num>
  <w:num w:numId="6">
    <w:abstractNumId w:val="0"/>
  </w:num>
  <w:num w:numId="7">
    <w:abstractNumId w:val="7"/>
  </w:num>
  <w:num w:numId="8">
    <w:abstractNumId w:val="10"/>
  </w:num>
  <w:num w:numId="9">
    <w:abstractNumId w:val="2"/>
  </w:num>
  <w:num w:numId="10">
    <w:abstractNumId w:val="9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43CC"/>
    <w:rsid w:val="00006267"/>
    <w:rsid w:val="00011082"/>
    <w:rsid w:val="00051627"/>
    <w:rsid w:val="00061F80"/>
    <w:rsid w:val="00072413"/>
    <w:rsid w:val="00076FE8"/>
    <w:rsid w:val="00077EA9"/>
    <w:rsid w:val="0008141D"/>
    <w:rsid w:val="00082862"/>
    <w:rsid w:val="00085ECF"/>
    <w:rsid w:val="0009655E"/>
    <w:rsid w:val="000A2217"/>
    <w:rsid w:val="000A4288"/>
    <w:rsid w:val="000A44D1"/>
    <w:rsid w:val="000A503F"/>
    <w:rsid w:val="000A6630"/>
    <w:rsid w:val="000D0978"/>
    <w:rsid w:val="000D16A1"/>
    <w:rsid w:val="000D7C09"/>
    <w:rsid w:val="000E202C"/>
    <w:rsid w:val="000E7C9C"/>
    <w:rsid w:val="000F2F0E"/>
    <w:rsid w:val="000F3C82"/>
    <w:rsid w:val="000F795D"/>
    <w:rsid w:val="00100289"/>
    <w:rsid w:val="00102F73"/>
    <w:rsid w:val="001077A7"/>
    <w:rsid w:val="00113D2F"/>
    <w:rsid w:val="00131AF8"/>
    <w:rsid w:val="001357BC"/>
    <w:rsid w:val="00137199"/>
    <w:rsid w:val="00150C99"/>
    <w:rsid w:val="001520A6"/>
    <w:rsid w:val="0015333A"/>
    <w:rsid w:val="00170DD5"/>
    <w:rsid w:val="00182B53"/>
    <w:rsid w:val="001A43CC"/>
    <w:rsid w:val="001A64E6"/>
    <w:rsid w:val="001A74B2"/>
    <w:rsid w:val="001C22E9"/>
    <w:rsid w:val="001D5707"/>
    <w:rsid w:val="001D5B57"/>
    <w:rsid w:val="001E3A0B"/>
    <w:rsid w:val="001E6F19"/>
    <w:rsid w:val="001F62E7"/>
    <w:rsid w:val="00212150"/>
    <w:rsid w:val="002325AA"/>
    <w:rsid w:val="0023270C"/>
    <w:rsid w:val="00237EAE"/>
    <w:rsid w:val="00244227"/>
    <w:rsid w:val="00252663"/>
    <w:rsid w:val="00256E01"/>
    <w:rsid w:val="00264746"/>
    <w:rsid w:val="00281737"/>
    <w:rsid w:val="002843FB"/>
    <w:rsid w:val="002A23EA"/>
    <w:rsid w:val="002A7EEA"/>
    <w:rsid w:val="002B1D10"/>
    <w:rsid w:val="002D7BC6"/>
    <w:rsid w:val="002E2DE4"/>
    <w:rsid w:val="002F1DA9"/>
    <w:rsid w:val="00302794"/>
    <w:rsid w:val="00305C5C"/>
    <w:rsid w:val="00313F1A"/>
    <w:rsid w:val="00317FC8"/>
    <w:rsid w:val="003604A2"/>
    <w:rsid w:val="003734CA"/>
    <w:rsid w:val="00380255"/>
    <w:rsid w:val="0038574D"/>
    <w:rsid w:val="00392320"/>
    <w:rsid w:val="00395A9E"/>
    <w:rsid w:val="00396AA4"/>
    <w:rsid w:val="00396C75"/>
    <w:rsid w:val="003A0B23"/>
    <w:rsid w:val="003A1420"/>
    <w:rsid w:val="003A14C6"/>
    <w:rsid w:val="003A4502"/>
    <w:rsid w:val="003A5260"/>
    <w:rsid w:val="003B1AEB"/>
    <w:rsid w:val="003C329C"/>
    <w:rsid w:val="003C7887"/>
    <w:rsid w:val="003F24BA"/>
    <w:rsid w:val="003F471E"/>
    <w:rsid w:val="003F74F2"/>
    <w:rsid w:val="0040264D"/>
    <w:rsid w:val="00417220"/>
    <w:rsid w:val="00480A2E"/>
    <w:rsid w:val="004810AE"/>
    <w:rsid w:val="004867E5"/>
    <w:rsid w:val="0048741E"/>
    <w:rsid w:val="004979D2"/>
    <w:rsid w:val="004D1328"/>
    <w:rsid w:val="004D2BC6"/>
    <w:rsid w:val="004F1856"/>
    <w:rsid w:val="004F3D70"/>
    <w:rsid w:val="0053375D"/>
    <w:rsid w:val="005358CC"/>
    <w:rsid w:val="00536B11"/>
    <w:rsid w:val="00545151"/>
    <w:rsid w:val="00551F1C"/>
    <w:rsid w:val="00555541"/>
    <w:rsid w:val="00557957"/>
    <w:rsid w:val="00573B7B"/>
    <w:rsid w:val="0057676B"/>
    <w:rsid w:val="00590CF5"/>
    <w:rsid w:val="00596C3D"/>
    <w:rsid w:val="005A156D"/>
    <w:rsid w:val="005B3A3B"/>
    <w:rsid w:val="005B5B99"/>
    <w:rsid w:val="005B682A"/>
    <w:rsid w:val="005C3382"/>
    <w:rsid w:val="005D5F8E"/>
    <w:rsid w:val="005E2BFB"/>
    <w:rsid w:val="005E3E7B"/>
    <w:rsid w:val="005E46CE"/>
    <w:rsid w:val="00604E07"/>
    <w:rsid w:val="00616009"/>
    <w:rsid w:val="00654C7F"/>
    <w:rsid w:val="006604F3"/>
    <w:rsid w:val="00663BC0"/>
    <w:rsid w:val="006800C8"/>
    <w:rsid w:val="006961A6"/>
    <w:rsid w:val="0069642D"/>
    <w:rsid w:val="006A02C4"/>
    <w:rsid w:val="006A2D1C"/>
    <w:rsid w:val="006A4782"/>
    <w:rsid w:val="006B4543"/>
    <w:rsid w:val="006B47FE"/>
    <w:rsid w:val="006C741D"/>
    <w:rsid w:val="006D1821"/>
    <w:rsid w:val="006F1524"/>
    <w:rsid w:val="00700AD9"/>
    <w:rsid w:val="00705CBA"/>
    <w:rsid w:val="007067A0"/>
    <w:rsid w:val="00710F93"/>
    <w:rsid w:val="00725F09"/>
    <w:rsid w:val="007337C2"/>
    <w:rsid w:val="007340D5"/>
    <w:rsid w:val="007348D0"/>
    <w:rsid w:val="00735CEB"/>
    <w:rsid w:val="00736E57"/>
    <w:rsid w:val="00744667"/>
    <w:rsid w:val="00746C50"/>
    <w:rsid w:val="00756C6E"/>
    <w:rsid w:val="007708E7"/>
    <w:rsid w:val="007B12C2"/>
    <w:rsid w:val="007C0165"/>
    <w:rsid w:val="007C2FFF"/>
    <w:rsid w:val="007E03F8"/>
    <w:rsid w:val="007E55D3"/>
    <w:rsid w:val="00804120"/>
    <w:rsid w:val="00845906"/>
    <w:rsid w:val="00880567"/>
    <w:rsid w:val="008867A6"/>
    <w:rsid w:val="00890892"/>
    <w:rsid w:val="00890FB9"/>
    <w:rsid w:val="008A30BA"/>
    <w:rsid w:val="008B360D"/>
    <w:rsid w:val="008C13CD"/>
    <w:rsid w:val="008C1958"/>
    <w:rsid w:val="008D4ECF"/>
    <w:rsid w:val="008F7C40"/>
    <w:rsid w:val="009253D8"/>
    <w:rsid w:val="00951E82"/>
    <w:rsid w:val="0095637D"/>
    <w:rsid w:val="00966016"/>
    <w:rsid w:val="00970A15"/>
    <w:rsid w:val="00971920"/>
    <w:rsid w:val="0097257A"/>
    <w:rsid w:val="00985665"/>
    <w:rsid w:val="00987037"/>
    <w:rsid w:val="009C14BD"/>
    <w:rsid w:val="009C2E04"/>
    <w:rsid w:val="009C3E6E"/>
    <w:rsid w:val="009D48F2"/>
    <w:rsid w:val="009D6C7F"/>
    <w:rsid w:val="009F5F62"/>
    <w:rsid w:val="00A204F0"/>
    <w:rsid w:val="00A33A97"/>
    <w:rsid w:val="00A43DDC"/>
    <w:rsid w:val="00A442A5"/>
    <w:rsid w:val="00A64EBB"/>
    <w:rsid w:val="00A75E00"/>
    <w:rsid w:val="00A77032"/>
    <w:rsid w:val="00A812C9"/>
    <w:rsid w:val="00A84193"/>
    <w:rsid w:val="00A85A28"/>
    <w:rsid w:val="00A928A1"/>
    <w:rsid w:val="00AA6BA0"/>
    <w:rsid w:val="00AB3937"/>
    <w:rsid w:val="00AE52C2"/>
    <w:rsid w:val="00AE767C"/>
    <w:rsid w:val="00AE7D74"/>
    <w:rsid w:val="00B218D3"/>
    <w:rsid w:val="00B44D09"/>
    <w:rsid w:val="00B472D1"/>
    <w:rsid w:val="00B5063E"/>
    <w:rsid w:val="00B52901"/>
    <w:rsid w:val="00B63553"/>
    <w:rsid w:val="00B677FC"/>
    <w:rsid w:val="00B701C8"/>
    <w:rsid w:val="00B72D9A"/>
    <w:rsid w:val="00B84D84"/>
    <w:rsid w:val="00B90029"/>
    <w:rsid w:val="00B95BF1"/>
    <w:rsid w:val="00BB04E0"/>
    <w:rsid w:val="00BD0237"/>
    <w:rsid w:val="00BD05FB"/>
    <w:rsid w:val="00BD06B2"/>
    <w:rsid w:val="00BE3D2E"/>
    <w:rsid w:val="00BF0A8C"/>
    <w:rsid w:val="00BF12DC"/>
    <w:rsid w:val="00BF23E1"/>
    <w:rsid w:val="00C00119"/>
    <w:rsid w:val="00C2672F"/>
    <w:rsid w:val="00C50948"/>
    <w:rsid w:val="00C51C46"/>
    <w:rsid w:val="00C621CC"/>
    <w:rsid w:val="00C73293"/>
    <w:rsid w:val="00C8342E"/>
    <w:rsid w:val="00C83755"/>
    <w:rsid w:val="00C83A75"/>
    <w:rsid w:val="00C857BF"/>
    <w:rsid w:val="00C875E2"/>
    <w:rsid w:val="00C87F17"/>
    <w:rsid w:val="00C91E10"/>
    <w:rsid w:val="00C96496"/>
    <w:rsid w:val="00CC3998"/>
    <w:rsid w:val="00CC5573"/>
    <w:rsid w:val="00CD2803"/>
    <w:rsid w:val="00CD3A88"/>
    <w:rsid w:val="00CE10F1"/>
    <w:rsid w:val="00CF0F78"/>
    <w:rsid w:val="00CF6114"/>
    <w:rsid w:val="00CF7326"/>
    <w:rsid w:val="00D01211"/>
    <w:rsid w:val="00D112C7"/>
    <w:rsid w:val="00D1522E"/>
    <w:rsid w:val="00D174FE"/>
    <w:rsid w:val="00D42728"/>
    <w:rsid w:val="00D45A61"/>
    <w:rsid w:val="00D464DC"/>
    <w:rsid w:val="00D5514F"/>
    <w:rsid w:val="00D55D52"/>
    <w:rsid w:val="00D60830"/>
    <w:rsid w:val="00D824F4"/>
    <w:rsid w:val="00D93D23"/>
    <w:rsid w:val="00DB55F6"/>
    <w:rsid w:val="00DC0A2A"/>
    <w:rsid w:val="00DC2DAA"/>
    <w:rsid w:val="00DC60C6"/>
    <w:rsid w:val="00DD221C"/>
    <w:rsid w:val="00DE2C07"/>
    <w:rsid w:val="00DF231B"/>
    <w:rsid w:val="00DF25F6"/>
    <w:rsid w:val="00DF376E"/>
    <w:rsid w:val="00E17128"/>
    <w:rsid w:val="00E30CD0"/>
    <w:rsid w:val="00E349D8"/>
    <w:rsid w:val="00E46D29"/>
    <w:rsid w:val="00E70EBC"/>
    <w:rsid w:val="00E775C2"/>
    <w:rsid w:val="00E86407"/>
    <w:rsid w:val="00E95547"/>
    <w:rsid w:val="00EC39A5"/>
    <w:rsid w:val="00ED55F3"/>
    <w:rsid w:val="00EE229B"/>
    <w:rsid w:val="00EF09ED"/>
    <w:rsid w:val="00F070ED"/>
    <w:rsid w:val="00F2374D"/>
    <w:rsid w:val="00F500CD"/>
    <w:rsid w:val="00F5050B"/>
    <w:rsid w:val="00F703CF"/>
    <w:rsid w:val="00FA6FAE"/>
    <w:rsid w:val="00FB46D2"/>
    <w:rsid w:val="00FE01EC"/>
    <w:rsid w:val="00FF7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A02C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6A02C4"/>
    <w:pPr>
      <w:widowControl w:val="0"/>
      <w:autoSpaceDE w:val="0"/>
      <w:autoSpaceDN w:val="0"/>
      <w:adjustRightInd w:val="0"/>
    </w:pPr>
  </w:style>
  <w:style w:type="paragraph" w:customStyle="1" w:styleId="a3">
    <w:name w:val="Знак Знак Знак Знак"/>
    <w:basedOn w:val="a"/>
    <w:rsid w:val="006A02C4"/>
    <w:rPr>
      <w:lang w:val="pl-PL" w:eastAsia="pl-PL"/>
    </w:rPr>
  </w:style>
  <w:style w:type="paragraph" w:styleId="a4">
    <w:name w:val="Balloon Text"/>
    <w:basedOn w:val="a"/>
    <w:semiHidden/>
    <w:rsid w:val="008D4EC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92320"/>
    <w:pPr>
      <w:ind w:left="720"/>
      <w:contextualSpacing/>
    </w:pPr>
  </w:style>
  <w:style w:type="paragraph" w:styleId="a6">
    <w:name w:val="header"/>
    <w:basedOn w:val="a"/>
    <w:link w:val="a7"/>
    <w:rsid w:val="00EE229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EE229B"/>
    <w:rPr>
      <w:sz w:val="24"/>
      <w:szCs w:val="24"/>
    </w:rPr>
  </w:style>
  <w:style w:type="paragraph" w:styleId="a8">
    <w:name w:val="footer"/>
    <w:basedOn w:val="a"/>
    <w:link w:val="a9"/>
    <w:uiPriority w:val="99"/>
    <w:rsid w:val="00EE229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229B"/>
    <w:rPr>
      <w:sz w:val="24"/>
      <w:szCs w:val="24"/>
    </w:rPr>
  </w:style>
  <w:style w:type="table" w:styleId="aa">
    <w:name w:val="Table Grid"/>
    <w:basedOn w:val="a1"/>
    <w:rsid w:val="007E55D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5C3382"/>
    <w:rPr>
      <w:rFonts w:ascii="Calibri" w:eastAsia="Calibri" w:hAnsi="Calibri"/>
      <w:sz w:val="22"/>
      <w:szCs w:val="22"/>
      <w:lang w:eastAsia="en-US"/>
    </w:rPr>
  </w:style>
  <w:style w:type="character" w:styleId="ac">
    <w:name w:val="Hyperlink"/>
    <w:basedOn w:val="a0"/>
    <w:uiPriority w:val="99"/>
    <w:unhideWhenUsed/>
    <w:rsid w:val="005C338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A02C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">
    <w:name w:val="Style4"/>
    <w:basedOn w:val="a"/>
    <w:rsid w:val="006A02C4"/>
    <w:pPr>
      <w:widowControl w:val="0"/>
      <w:autoSpaceDE w:val="0"/>
      <w:autoSpaceDN w:val="0"/>
      <w:adjustRightInd w:val="0"/>
    </w:pPr>
  </w:style>
  <w:style w:type="paragraph" w:customStyle="1" w:styleId="a3">
    <w:name w:val="Знак Знак Знак Знак"/>
    <w:basedOn w:val="a"/>
    <w:rsid w:val="006A02C4"/>
    <w:rPr>
      <w:lang w:val="pl-PL" w:eastAsia="pl-PL"/>
    </w:rPr>
  </w:style>
  <w:style w:type="paragraph" w:styleId="a4">
    <w:name w:val="Balloon Text"/>
    <w:basedOn w:val="a"/>
    <w:semiHidden/>
    <w:rsid w:val="008D4EC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92320"/>
    <w:pPr>
      <w:ind w:left="720"/>
      <w:contextualSpacing/>
    </w:pPr>
  </w:style>
  <w:style w:type="paragraph" w:styleId="a6">
    <w:name w:val="header"/>
    <w:basedOn w:val="a"/>
    <w:link w:val="a7"/>
    <w:rsid w:val="00EE229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EE229B"/>
    <w:rPr>
      <w:sz w:val="24"/>
      <w:szCs w:val="24"/>
    </w:rPr>
  </w:style>
  <w:style w:type="paragraph" w:styleId="a8">
    <w:name w:val="footer"/>
    <w:basedOn w:val="a"/>
    <w:link w:val="a9"/>
    <w:uiPriority w:val="99"/>
    <w:rsid w:val="00EE229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229B"/>
    <w:rPr>
      <w:sz w:val="24"/>
      <w:szCs w:val="24"/>
    </w:rPr>
  </w:style>
  <w:style w:type="table" w:styleId="aa">
    <w:name w:val="Table Grid"/>
    <w:basedOn w:val="a1"/>
    <w:rsid w:val="007E55D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5C3382"/>
    <w:rPr>
      <w:rFonts w:ascii="Calibri" w:eastAsia="Calibri" w:hAnsi="Calibri"/>
      <w:sz w:val="22"/>
      <w:szCs w:val="22"/>
      <w:lang w:eastAsia="en-US"/>
    </w:rPr>
  </w:style>
  <w:style w:type="character" w:styleId="ac">
    <w:name w:val="Hyperlink"/>
    <w:basedOn w:val="a0"/>
    <w:uiPriority w:val="99"/>
    <w:unhideWhenUsed/>
    <w:rsid w:val="005C338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.zamchevskiy\Documents\&#1064;&#1072;&#1073;&#1083;&#1086;&#1085;%20&#1079;&#1072;&#1082;&#1083;&#1102;&#1095;&#1077;&#1085;&#1080;&#1103;%20&#1072;&#1085;&#1072;&#1083;&#1080;&#1090;&#1080;&#1095;&#1077;&#1089;&#1082;&#1086;&#1075;&#1086;%20&#1086;&#1090;&#1076;&#1077;&#1083;&#1072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1C2541-2A89-44D3-BBCE-E6203F201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заключения аналитического отдела</Template>
  <TotalTime>1</TotalTime>
  <Pages>3</Pages>
  <Words>402</Words>
  <Characters>2293</Characters>
  <Application>Microsoft Office Word</Application>
  <DocSecurity>4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Дума</Company>
  <LinksUpToDate>false</LinksUpToDate>
  <CharactersWithSpaces>2690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В. Тимофеева</dc:creator>
  <cp:lastModifiedBy>Елена Е. Филатова</cp:lastModifiedBy>
  <cp:revision>2</cp:revision>
  <cp:lastPrinted>2019-12-23T12:59:00Z</cp:lastPrinted>
  <dcterms:created xsi:type="dcterms:W3CDTF">2024-11-05T09:00:00Z</dcterms:created>
  <dcterms:modified xsi:type="dcterms:W3CDTF">2024-11-05T09:00:00Z</dcterms:modified>
</cp:coreProperties>
</file>